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606A" w:rsidRDefault="00DD606A" w:rsidP="001D6A1D">
      <w:pPr>
        <w:spacing w:before="115" w:line="240" w:lineRule="auto"/>
        <w:jc w:val="center"/>
        <w:rPr>
          <w:rFonts w:ascii="Times New Roman" w:eastAsia="Calibri" w:hAnsi="Times New Roman" w:cs="Times New Roman"/>
          <w:b/>
          <w:bCs/>
          <w:color w:val="C00000"/>
          <w:kern w:val="24"/>
          <w:sz w:val="28"/>
          <w:szCs w:val="28"/>
          <w:lang w:eastAsia="lv-LV"/>
        </w:rPr>
      </w:pPr>
    </w:p>
    <w:p w:rsidR="001D6A1D" w:rsidRPr="00423713" w:rsidRDefault="001D6A1D" w:rsidP="001D6A1D">
      <w:pPr>
        <w:spacing w:before="115" w:line="240" w:lineRule="auto"/>
        <w:jc w:val="center"/>
        <w:rPr>
          <w:rFonts w:ascii="Times New Roman" w:eastAsia="Calibri" w:hAnsi="Times New Roman" w:cs="Times New Roman"/>
          <w:b/>
          <w:bCs/>
          <w:color w:val="C00000"/>
          <w:kern w:val="24"/>
          <w:sz w:val="28"/>
          <w:szCs w:val="28"/>
          <w:lang w:eastAsia="lv-LV"/>
        </w:rPr>
      </w:pPr>
      <w:r w:rsidRPr="00423713">
        <w:rPr>
          <w:rFonts w:ascii="Times New Roman" w:eastAsia="Calibri" w:hAnsi="Times New Roman" w:cs="Times New Roman"/>
          <w:b/>
          <w:bCs/>
          <w:color w:val="C00000"/>
          <w:kern w:val="24"/>
          <w:sz w:val="28"/>
          <w:szCs w:val="28"/>
          <w:lang w:eastAsia="lv-LV"/>
        </w:rPr>
        <w:t>RTU Neklātienes un vakara studiju departamenta</w:t>
      </w:r>
      <w:r>
        <w:rPr>
          <w:rFonts w:ascii="Times New Roman" w:eastAsia="Calibri" w:hAnsi="Times New Roman" w:cs="Times New Roman"/>
          <w:b/>
          <w:bCs/>
          <w:color w:val="C00000"/>
          <w:kern w:val="24"/>
          <w:sz w:val="28"/>
          <w:szCs w:val="28"/>
          <w:lang w:eastAsia="lv-LV"/>
        </w:rPr>
        <w:t xml:space="preserve"> īstenoto</w:t>
      </w:r>
    </w:p>
    <w:p w:rsidR="001D6A1D" w:rsidRPr="00423713" w:rsidRDefault="001D6A1D" w:rsidP="001D6A1D">
      <w:pPr>
        <w:spacing w:before="115" w:line="240" w:lineRule="auto"/>
        <w:jc w:val="center"/>
        <w:rPr>
          <w:rFonts w:ascii="Times New Roman" w:eastAsia="Calibri" w:hAnsi="Times New Roman" w:cs="Times New Roman"/>
          <w:b/>
          <w:bCs/>
          <w:color w:val="C00000"/>
          <w:kern w:val="24"/>
          <w:sz w:val="28"/>
          <w:szCs w:val="28"/>
          <w:lang w:eastAsia="lv-LV"/>
        </w:rPr>
      </w:pPr>
      <w:r w:rsidRPr="00423713">
        <w:rPr>
          <w:rFonts w:ascii="Times New Roman" w:eastAsia="Calibri" w:hAnsi="Times New Roman" w:cs="Times New Roman"/>
          <w:b/>
          <w:bCs/>
          <w:color w:val="C00000"/>
          <w:kern w:val="24"/>
          <w:sz w:val="28"/>
          <w:szCs w:val="28"/>
          <w:lang w:eastAsia="lv-LV"/>
        </w:rPr>
        <w:t>profesionālo studiju programmu apraksti</w:t>
      </w:r>
    </w:p>
    <w:p w:rsidR="001D6A1D" w:rsidRDefault="001D6A1D" w:rsidP="001D6A1D">
      <w:pPr>
        <w:ind w:firstLine="720"/>
        <w:jc w:val="both"/>
        <w:rPr>
          <w:rFonts w:ascii="Times New Roman" w:hAnsi="Times New Roman" w:cs="Times New Roman"/>
          <w:b/>
          <w:sz w:val="24"/>
          <w:szCs w:val="24"/>
        </w:rPr>
      </w:pPr>
    </w:p>
    <w:p w:rsidR="008F67B0" w:rsidRPr="00DD606A" w:rsidRDefault="008F67B0" w:rsidP="008F67B0">
      <w:pPr>
        <w:ind w:firstLine="720"/>
        <w:jc w:val="both"/>
        <w:rPr>
          <w:rFonts w:ascii="Times New Roman" w:hAnsi="Times New Roman" w:cs="Times New Roman"/>
          <w:b/>
          <w:sz w:val="24"/>
          <w:szCs w:val="24"/>
          <w:u w:val="single"/>
        </w:rPr>
      </w:pPr>
      <w:proofErr w:type="spellStart"/>
      <w:r w:rsidRPr="00DD606A">
        <w:rPr>
          <w:rFonts w:ascii="Times New Roman" w:hAnsi="Times New Roman" w:cs="Times New Roman"/>
          <w:b/>
          <w:sz w:val="24"/>
          <w:szCs w:val="24"/>
          <w:u w:val="single"/>
        </w:rPr>
        <w:t>Adaptronika</w:t>
      </w:r>
      <w:proofErr w:type="spellEnd"/>
    </w:p>
    <w:p w:rsidR="008F67B0" w:rsidRPr="00DD606A" w:rsidRDefault="008F67B0" w:rsidP="008F67B0">
      <w:pPr>
        <w:ind w:firstLine="720"/>
        <w:jc w:val="both"/>
        <w:rPr>
          <w:rFonts w:ascii="Times New Roman" w:hAnsi="Times New Roman" w:cs="Times New Roman"/>
          <w:sz w:val="24"/>
          <w:szCs w:val="24"/>
        </w:rPr>
      </w:pPr>
      <w:proofErr w:type="spellStart"/>
      <w:r w:rsidRPr="00DD606A">
        <w:rPr>
          <w:rFonts w:ascii="Times New Roman" w:hAnsi="Times New Roman" w:cs="Times New Roman"/>
          <w:sz w:val="24"/>
          <w:szCs w:val="24"/>
        </w:rPr>
        <w:t>Adaptronika</w:t>
      </w:r>
      <w:proofErr w:type="spellEnd"/>
      <w:r w:rsidRPr="00DD606A">
        <w:rPr>
          <w:rFonts w:ascii="Times New Roman" w:hAnsi="Times New Roman" w:cs="Times New Roman"/>
          <w:sz w:val="24"/>
          <w:szCs w:val="24"/>
        </w:rPr>
        <w:t xml:space="preserve"> ir nozare, kas apvieno viedās tehnoloģijas un </w:t>
      </w:r>
      <w:proofErr w:type="spellStart"/>
      <w:r w:rsidRPr="00DD606A">
        <w:rPr>
          <w:rFonts w:ascii="Times New Roman" w:hAnsi="Times New Roman" w:cs="Times New Roman"/>
          <w:sz w:val="24"/>
          <w:szCs w:val="24"/>
        </w:rPr>
        <w:t>elektrotehnoloģijas</w:t>
      </w:r>
      <w:proofErr w:type="spellEnd"/>
      <w:r w:rsidRPr="00DD606A">
        <w:rPr>
          <w:rFonts w:ascii="Times New Roman" w:hAnsi="Times New Roman" w:cs="Times New Roman"/>
          <w:sz w:val="24"/>
          <w:szCs w:val="24"/>
        </w:rPr>
        <w:t xml:space="preserve">, viedos materiālus, robottehniku un modernu datu apmaiņu – lietisko internetu. Studiju programma sagatavo elektroinženierus adaptīvo iekārtu un sistēmu izstrādei trijās specializācijās: industriālā </w:t>
      </w:r>
      <w:proofErr w:type="spellStart"/>
      <w:r w:rsidRPr="00DD606A">
        <w:rPr>
          <w:rFonts w:ascii="Times New Roman" w:hAnsi="Times New Roman" w:cs="Times New Roman"/>
          <w:sz w:val="24"/>
          <w:szCs w:val="24"/>
        </w:rPr>
        <w:t>adaptronika</w:t>
      </w:r>
      <w:proofErr w:type="spellEnd"/>
      <w:r w:rsidRPr="00DD606A">
        <w:rPr>
          <w:rFonts w:ascii="Times New Roman" w:hAnsi="Times New Roman" w:cs="Times New Roman"/>
          <w:sz w:val="24"/>
          <w:szCs w:val="24"/>
        </w:rPr>
        <w:t xml:space="preserve">, </w:t>
      </w:r>
      <w:proofErr w:type="spellStart"/>
      <w:r w:rsidRPr="00DD606A">
        <w:rPr>
          <w:rFonts w:ascii="Times New Roman" w:hAnsi="Times New Roman" w:cs="Times New Roman"/>
          <w:sz w:val="24"/>
          <w:szCs w:val="24"/>
        </w:rPr>
        <w:t>adaptronika</w:t>
      </w:r>
      <w:proofErr w:type="spellEnd"/>
      <w:r w:rsidRPr="00DD606A">
        <w:rPr>
          <w:rFonts w:ascii="Times New Roman" w:hAnsi="Times New Roman" w:cs="Times New Roman"/>
          <w:sz w:val="24"/>
          <w:szCs w:val="24"/>
        </w:rPr>
        <w:t xml:space="preserve"> medicīnā un veselības aprūpē, </w:t>
      </w:r>
      <w:proofErr w:type="spellStart"/>
      <w:r w:rsidRPr="00DD606A">
        <w:rPr>
          <w:rFonts w:ascii="Times New Roman" w:hAnsi="Times New Roman" w:cs="Times New Roman"/>
          <w:sz w:val="24"/>
          <w:szCs w:val="24"/>
        </w:rPr>
        <w:t>adaptronika</w:t>
      </w:r>
      <w:proofErr w:type="spellEnd"/>
      <w:r w:rsidRPr="00DD606A">
        <w:rPr>
          <w:rFonts w:ascii="Times New Roman" w:hAnsi="Times New Roman" w:cs="Times New Roman"/>
          <w:sz w:val="24"/>
          <w:szCs w:val="24"/>
        </w:rPr>
        <w:t xml:space="preserve"> informācijas sistēmās. Studējošie iegūst nepieciešamās zināšanas, prasmes un kompetences vispusīgai un efektīvai rīcībai elektrotehnikas un </w:t>
      </w:r>
      <w:proofErr w:type="spellStart"/>
      <w:r w:rsidRPr="00DD606A">
        <w:rPr>
          <w:rFonts w:ascii="Times New Roman" w:hAnsi="Times New Roman" w:cs="Times New Roman"/>
          <w:sz w:val="24"/>
          <w:szCs w:val="24"/>
        </w:rPr>
        <w:t>adaptronikas</w:t>
      </w:r>
      <w:proofErr w:type="spellEnd"/>
      <w:r w:rsidRPr="00DD606A">
        <w:rPr>
          <w:rFonts w:ascii="Times New Roman" w:hAnsi="Times New Roman" w:cs="Times New Roman"/>
          <w:sz w:val="24"/>
          <w:szCs w:val="24"/>
        </w:rPr>
        <w:t xml:space="preserve"> jomās.</w:t>
      </w:r>
    </w:p>
    <w:p w:rsidR="001D6A1D" w:rsidRPr="00DD606A" w:rsidRDefault="00297C32" w:rsidP="001D6A1D">
      <w:pPr>
        <w:ind w:firstLine="720"/>
        <w:jc w:val="both"/>
        <w:rPr>
          <w:rFonts w:ascii="Times New Roman" w:hAnsi="Times New Roman" w:cs="Times New Roman"/>
          <w:b/>
          <w:sz w:val="24"/>
          <w:szCs w:val="24"/>
          <w:u w:val="single"/>
        </w:rPr>
      </w:pPr>
      <w:r w:rsidRPr="00DD606A">
        <w:rPr>
          <w:rFonts w:ascii="Times New Roman" w:hAnsi="Times New Roman" w:cs="Times New Roman"/>
          <w:b/>
          <w:sz w:val="24"/>
          <w:szCs w:val="24"/>
          <w:u w:val="single"/>
        </w:rPr>
        <w:t>Viedā elektroe</w:t>
      </w:r>
      <w:r w:rsidR="001D6A1D" w:rsidRPr="00DD606A">
        <w:rPr>
          <w:rFonts w:ascii="Times New Roman" w:hAnsi="Times New Roman" w:cs="Times New Roman"/>
          <w:b/>
          <w:sz w:val="24"/>
          <w:szCs w:val="24"/>
          <w:u w:val="single"/>
        </w:rPr>
        <w:t>nerģētika</w:t>
      </w:r>
    </w:p>
    <w:p w:rsidR="007E7E07" w:rsidRPr="00DD606A" w:rsidRDefault="003D62D3" w:rsidP="00D96768">
      <w:pPr>
        <w:ind w:firstLine="720"/>
        <w:jc w:val="both"/>
        <w:rPr>
          <w:rFonts w:ascii="Times New Roman" w:hAnsi="Times New Roman" w:cs="Times New Roman"/>
          <w:bCs/>
          <w:color w:val="212121"/>
          <w:sz w:val="24"/>
          <w:szCs w:val="24"/>
          <w:shd w:val="clear" w:color="auto" w:fill="FFFFFF"/>
        </w:rPr>
      </w:pPr>
      <w:r w:rsidRPr="00DD606A">
        <w:rPr>
          <w:rFonts w:ascii="Times New Roman" w:hAnsi="Times New Roman" w:cs="Times New Roman"/>
          <w:bCs/>
          <w:color w:val="212121"/>
          <w:sz w:val="24"/>
          <w:szCs w:val="24"/>
          <w:shd w:val="clear" w:color="auto" w:fill="FFFFFF"/>
        </w:rPr>
        <w:t xml:space="preserve">Profesionālā studiju programma ir orientēta uz Latvijas un ārējā darba tirgus prasību nodrošināšanu ar speciālistiem </w:t>
      </w:r>
      <w:proofErr w:type="spellStart"/>
      <w:r w:rsidRPr="00DD606A">
        <w:rPr>
          <w:rFonts w:ascii="Times New Roman" w:hAnsi="Times New Roman" w:cs="Times New Roman"/>
          <w:bCs/>
          <w:color w:val="212121"/>
          <w:sz w:val="24"/>
          <w:szCs w:val="24"/>
          <w:shd w:val="clear" w:color="auto" w:fill="FFFFFF"/>
        </w:rPr>
        <w:t>elektroenerģētisko</w:t>
      </w:r>
      <w:proofErr w:type="spellEnd"/>
      <w:r w:rsidRPr="00DD606A">
        <w:rPr>
          <w:rFonts w:ascii="Times New Roman" w:hAnsi="Times New Roman" w:cs="Times New Roman"/>
          <w:bCs/>
          <w:color w:val="212121"/>
          <w:sz w:val="24"/>
          <w:szCs w:val="24"/>
          <w:shd w:val="clear" w:color="auto" w:fill="FFFFFF"/>
        </w:rPr>
        <w:t xml:space="preserve"> sistēmu un tīklu, kā arī energosaimniecības </w:t>
      </w:r>
      <w:r w:rsidR="0040171D" w:rsidRPr="00DD606A">
        <w:rPr>
          <w:rFonts w:ascii="Times New Roman" w:hAnsi="Times New Roman" w:cs="Times New Roman"/>
          <w:bCs/>
          <w:color w:val="212121"/>
          <w:sz w:val="24"/>
          <w:szCs w:val="24"/>
          <w:shd w:val="clear" w:color="auto" w:fill="FFFFFF"/>
        </w:rPr>
        <w:t>(tajā skaitā elektroapgādes, elektrisko tīklu un sistēmu vadības vai elektrisko mašīnu un aparātu) jomā</w:t>
      </w:r>
      <w:r w:rsidRPr="00DD606A">
        <w:rPr>
          <w:rFonts w:ascii="Times New Roman" w:hAnsi="Times New Roman" w:cs="Times New Roman"/>
          <w:bCs/>
          <w:color w:val="212121"/>
          <w:sz w:val="24"/>
          <w:szCs w:val="24"/>
          <w:shd w:val="clear" w:color="auto" w:fill="FFFFFF"/>
        </w:rPr>
        <w:t xml:space="preserve">. </w:t>
      </w:r>
      <w:r w:rsidR="0040171D" w:rsidRPr="00DD606A">
        <w:rPr>
          <w:rFonts w:ascii="Times New Roman" w:hAnsi="Times New Roman" w:cs="Times New Roman"/>
          <w:bCs/>
          <w:color w:val="212121"/>
          <w:sz w:val="24"/>
          <w:szCs w:val="24"/>
          <w:shd w:val="clear" w:color="auto" w:fill="FFFFFF"/>
        </w:rPr>
        <w:t>Programma absolventi</w:t>
      </w:r>
      <w:r w:rsidRPr="00DD606A">
        <w:rPr>
          <w:rFonts w:ascii="Times New Roman" w:hAnsi="Times New Roman" w:cs="Times New Roman"/>
          <w:bCs/>
          <w:color w:val="212121"/>
          <w:sz w:val="24"/>
          <w:szCs w:val="24"/>
          <w:shd w:val="clear" w:color="auto" w:fill="FFFFFF"/>
        </w:rPr>
        <w:t xml:space="preserve"> spēj identificēt enerģētikas nozares vajadzības un piedāvā</w:t>
      </w:r>
      <w:r w:rsidR="0040171D" w:rsidRPr="00DD606A">
        <w:rPr>
          <w:rFonts w:ascii="Times New Roman" w:hAnsi="Times New Roman" w:cs="Times New Roman"/>
          <w:bCs/>
          <w:color w:val="212121"/>
          <w:sz w:val="24"/>
          <w:szCs w:val="24"/>
          <w:shd w:val="clear" w:color="auto" w:fill="FFFFFF"/>
        </w:rPr>
        <w:t>t</w:t>
      </w:r>
      <w:r w:rsidRPr="00DD606A">
        <w:rPr>
          <w:rFonts w:ascii="Times New Roman" w:hAnsi="Times New Roman" w:cs="Times New Roman"/>
          <w:bCs/>
          <w:color w:val="212121"/>
          <w:sz w:val="24"/>
          <w:szCs w:val="24"/>
          <w:shd w:val="clear" w:color="auto" w:fill="FFFFFF"/>
        </w:rPr>
        <w:t xml:space="preserve"> pielietot viedās tehnoloģijas taupīgai un efektīvai elektroenerģijas izmantošanai</w:t>
      </w:r>
      <w:r w:rsidR="0040171D" w:rsidRPr="00DD606A">
        <w:rPr>
          <w:rFonts w:ascii="Times New Roman" w:hAnsi="Times New Roman" w:cs="Times New Roman"/>
          <w:bCs/>
          <w:color w:val="212121"/>
          <w:sz w:val="24"/>
          <w:szCs w:val="24"/>
          <w:shd w:val="clear" w:color="auto" w:fill="FFFFFF"/>
        </w:rPr>
        <w:t>.</w:t>
      </w:r>
      <w:r w:rsidR="0040171D" w:rsidRPr="00DD606A">
        <w:rPr>
          <w:rFonts w:ascii="Times New Roman" w:hAnsi="Times New Roman" w:cs="Times New Roman"/>
          <w:sz w:val="24"/>
          <w:szCs w:val="24"/>
        </w:rPr>
        <w:t xml:space="preserve"> </w:t>
      </w:r>
      <w:r w:rsidR="0040171D" w:rsidRPr="00DD606A">
        <w:rPr>
          <w:rFonts w:ascii="Times New Roman" w:hAnsi="Times New Roman" w:cs="Times New Roman"/>
          <w:bCs/>
          <w:color w:val="212121"/>
          <w:sz w:val="24"/>
          <w:szCs w:val="24"/>
          <w:shd w:val="clear" w:color="auto" w:fill="FFFFFF"/>
        </w:rPr>
        <w:t xml:space="preserve">Pēc bakalaura grāda iegūšanas studijas iespējams turpināt arī maģistrantūrā. </w:t>
      </w:r>
    </w:p>
    <w:p w:rsidR="008F67B0" w:rsidRPr="00DD606A" w:rsidRDefault="008F67B0" w:rsidP="008F67B0">
      <w:pPr>
        <w:ind w:firstLine="720"/>
        <w:jc w:val="both"/>
        <w:rPr>
          <w:rFonts w:ascii="Times New Roman" w:hAnsi="Times New Roman" w:cs="Times New Roman"/>
          <w:b/>
          <w:sz w:val="24"/>
          <w:szCs w:val="24"/>
          <w:u w:val="single"/>
        </w:rPr>
      </w:pPr>
      <w:proofErr w:type="spellStart"/>
      <w:r w:rsidRPr="00DD606A">
        <w:rPr>
          <w:rFonts w:ascii="Times New Roman" w:hAnsi="Times New Roman" w:cs="Times New Roman"/>
          <w:b/>
          <w:sz w:val="24"/>
          <w:szCs w:val="24"/>
          <w:u w:val="single"/>
        </w:rPr>
        <w:t>Elektrotehnoloģiju</w:t>
      </w:r>
      <w:proofErr w:type="spellEnd"/>
      <w:r w:rsidRPr="00DD606A">
        <w:rPr>
          <w:rFonts w:ascii="Times New Roman" w:hAnsi="Times New Roman" w:cs="Times New Roman"/>
          <w:b/>
          <w:sz w:val="24"/>
          <w:szCs w:val="24"/>
          <w:u w:val="single"/>
        </w:rPr>
        <w:t xml:space="preserve"> datorvadība</w:t>
      </w:r>
    </w:p>
    <w:p w:rsidR="00DD606A" w:rsidRPr="00DD606A" w:rsidRDefault="008F67B0" w:rsidP="00DD606A">
      <w:pPr>
        <w:ind w:firstLine="720"/>
        <w:jc w:val="both"/>
        <w:rPr>
          <w:rFonts w:ascii="Times New Roman" w:hAnsi="Times New Roman" w:cs="Times New Roman"/>
          <w:sz w:val="24"/>
          <w:szCs w:val="24"/>
        </w:rPr>
      </w:pPr>
      <w:r w:rsidRPr="00DD606A">
        <w:rPr>
          <w:rFonts w:ascii="Times New Roman" w:hAnsi="Times New Roman" w:cs="Times New Roman"/>
          <w:sz w:val="24"/>
          <w:szCs w:val="24"/>
        </w:rPr>
        <w:t>Studijas profesionālajā bakalaura programmā “</w:t>
      </w:r>
      <w:proofErr w:type="spellStart"/>
      <w:r w:rsidRPr="00DD606A">
        <w:rPr>
          <w:rFonts w:ascii="Times New Roman" w:hAnsi="Times New Roman" w:cs="Times New Roman"/>
          <w:sz w:val="24"/>
          <w:szCs w:val="24"/>
        </w:rPr>
        <w:t>Elektrotehnoloģiju</w:t>
      </w:r>
      <w:proofErr w:type="spellEnd"/>
      <w:r w:rsidRPr="00DD606A">
        <w:rPr>
          <w:rFonts w:ascii="Times New Roman" w:hAnsi="Times New Roman" w:cs="Times New Roman"/>
          <w:sz w:val="24"/>
          <w:szCs w:val="24"/>
        </w:rPr>
        <w:t xml:space="preserve"> datorvadība” sniedz zināšanas par elektrisko tehnoloģiju darbības teorētiskajiem un praktiskajiem principiem, par </w:t>
      </w:r>
      <w:proofErr w:type="spellStart"/>
      <w:r w:rsidRPr="00DD606A">
        <w:rPr>
          <w:rFonts w:ascii="Times New Roman" w:hAnsi="Times New Roman" w:cs="Times New Roman"/>
          <w:sz w:val="24"/>
          <w:szCs w:val="24"/>
        </w:rPr>
        <w:t>energoelektronikas</w:t>
      </w:r>
      <w:proofErr w:type="spellEnd"/>
      <w:r w:rsidRPr="00DD606A">
        <w:rPr>
          <w:rFonts w:ascii="Times New Roman" w:hAnsi="Times New Roman" w:cs="Times New Roman"/>
          <w:sz w:val="24"/>
          <w:szCs w:val="24"/>
        </w:rPr>
        <w:t xml:space="preserve"> iekārtu projektēšanu, elektrisko tehnoloģiju automatizāciju un sistēmu praktisko izveidi. Elektroinženieri strādā uzņēmumos, kuru darbība ir saistīta ar elektroenerģijas ražošanu (elektrostacijas), piegādi (elektroenerģijas pārvades un sadales uzņēmumi), vai elektroenerģijas patērēšanu (rūpnīcas, transporta uzņēmumi, ēkas). </w:t>
      </w:r>
      <w:r w:rsidR="00BA6216" w:rsidRPr="00DD606A">
        <w:rPr>
          <w:rFonts w:ascii="Times New Roman" w:hAnsi="Times New Roman" w:cs="Times New Roman"/>
          <w:bCs/>
          <w:color w:val="212121"/>
          <w:sz w:val="24"/>
          <w:szCs w:val="24"/>
          <w:shd w:val="clear" w:color="auto" w:fill="FFFFFF"/>
        </w:rPr>
        <w:t>Pēc bakalaura grāda iegūšanas studijas iespējams turpināt arī maģistrantūrā.</w:t>
      </w:r>
    </w:p>
    <w:p w:rsidR="001D6A1D" w:rsidRPr="00DD606A" w:rsidRDefault="001D6A1D" w:rsidP="001D6A1D">
      <w:pPr>
        <w:ind w:firstLine="720"/>
        <w:jc w:val="both"/>
        <w:rPr>
          <w:rFonts w:ascii="Times New Roman" w:hAnsi="Times New Roman" w:cs="Times New Roman"/>
          <w:b/>
          <w:sz w:val="24"/>
          <w:szCs w:val="24"/>
          <w:u w:val="single"/>
        </w:rPr>
      </w:pPr>
      <w:r w:rsidRPr="00DD606A">
        <w:rPr>
          <w:rFonts w:ascii="Times New Roman" w:hAnsi="Times New Roman" w:cs="Times New Roman"/>
          <w:b/>
          <w:sz w:val="24"/>
          <w:szCs w:val="24"/>
          <w:u w:val="single"/>
        </w:rPr>
        <w:t>Būvniecība</w:t>
      </w:r>
    </w:p>
    <w:p w:rsidR="001D6A1D" w:rsidRPr="00DD606A" w:rsidRDefault="001D6A1D" w:rsidP="001D6A1D">
      <w:pPr>
        <w:ind w:firstLine="720"/>
        <w:jc w:val="both"/>
        <w:rPr>
          <w:rFonts w:ascii="Times New Roman" w:hAnsi="Times New Roman" w:cs="Times New Roman"/>
          <w:sz w:val="24"/>
          <w:szCs w:val="24"/>
        </w:rPr>
      </w:pPr>
      <w:r w:rsidRPr="00DD606A">
        <w:rPr>
          <w:rFonts w:ascii="Times New Roman" w:hAnsi="Times New Roman" w:cs="Times New Roman"/>
          <w:sz w:val="24"/>
          <w:szCs w:val="24"/>
        </w:rPr>
        <w:t xml:space="preserve">Profesionālā bakalaura studiju programma “Būvniecība” paredz apgūt mūsdienu prasībām atbilstošu profesionālo augstāko izglītību un praktiskās iemaņas būvniecības nozarē. Būvinženieri plāno, piedalās, organizē un pārrauga jaunu ēku būvniecības procesu vai esošo ēku restaurāciju un pārbūvi – projektē ēkas, vada būvprojektus, veic konstrukciju aprēķinus, pārzina celtniecības materiālu tehnoloģijas, sastāda un kontrolē būves </w:t>
      </w:r>
      <w:proofErr w:type="spellStart"/>
      <w:r w:rsidRPr="00DD606A">
        <w:rPr>
          <w:rFonts w:ascii="Times New Roman" w:hAnsi="Times New Roman" w:cs="Times New Roman"/>
          <w:sz w:val="24"/>
          <w:szCs w:val="24"/>
        </w:rPr>
        <w:t>izpilddokumentāciju</w:t>
      </w:r>
      <w:proofErr w:type="spellEnd"/>
      <w:r w:rsidRPr="00DD606A">
        <w:rPr>
          <w:rFonts w:ascii="Times New Roman" w:hAnsi="Times New Roman" w:cs="Times New Roman"/>
          <w:sz w:val="24"/>
          <w:szCs w:val="24"/>
        </w:rPr>
        <w:t>, kā arī pārzina būvju ekspluatācij</w:t>
      </w:r>
      <w:r w:rsidR="004363E1" w:rsidRPr="00DD606A">
        <w:rPr>
          <w:rFonts w:ascii="Times New Roman" w:hAnsi="Times New Roman" w:cs="Times New Roman"/>
          <w:sz w:val="24"/>
          <w:szCs w:val="24"/>
        </w:rPr>
        <w:t>as jautājumus</w:t>
      </w:r>
      <w:r w:rsidRPr="00DD606A">
        <w:rPr>
          <w:rFonts w:ascii="Times New Roman" w:hAnsi="Times New Roman" w:cs="Times New Roman"/>
          <w:sz w:val="24"/>
          <w:szCs w:val="24"/>
        </w:rPr>
        <w:t>.</w:t>
      </w:r>
    </w:p>
    <w:p w:rsidR="001D6A1D" w:rsidRPr="00DD606A" w:rsidRDefault="001D6A1D" w:rsidP="001D6A1D">
      <w:pPr>
        <w:ind w:firstLine="720"/>
        <w:jc w:val="both"/>
        <w:rPr>
          <w:rFonts w:ascii="Times New Roman" w:hAnsi="Times New Roman" w:cs="Times New Roman"/>
          <w:b/>
          <w:sz w:val="24"/>
          <w:szCs w:val="24"/>
          <w:u w:val="single"/>
        </w:rPr>
      </w:pPr>
      <w:proofErr w:type="spellStart"/>
      <w:r w:rsidRPr="00DD606A">
        <w:rPr>
          <w:rFonts w:ascii="Times New Roman" w:hAnsi="Times New Roman" w:cs="Times New Roman"/>
          <w:b/>
          <w:sz w:val="24"/>
          <w:szCs w:val="24"/>
          <w:u w:val="single"/>
        </w:rPr>
        <w:t>Ģeomātika</w:t>
      </w:r>
      <w:proofErr w:type="spellEnd"/>
    </w:p>
    <w:p w:rsidR="004363E1" w:rsidRPr="00DD606A" w:rsidRDefault="004363E1" w:rsidP="00DD606A">
      <w:pPr>
        <w:ind w:firstLine="720"/>
        <w:jc w:val="both"/>
        <w:rPr>
          <w:rFonts w:ascii="Times New Roman" w:hAnsi="Times New Roman" w:cs="Times New Roman"/>
          <w:sz w:val="24"/>
          <w:szCs w:val="24"/>
        </w:rPr>
      </w:pPr>
      <w:r w:rsidRPr="00DD606A">
        <w:rPr>
          <w:rFonts w:ascii="Times New Roman" w:hAnsi="Times New Roman" w:cs="Times New Roman"/>
          <w:sz w:val="24"/>
          <w:szCs w:val="24"/>
        </w:rPr>
        <w:t>Studiju programma “</w:t>
      </w:r>
      <w:proofErr w:type="spellStart"/>
      <w:r w:rsidRPr="00DD606A">
        <w:rPr>
          <w:rFonts w:ascii="Times New Roman" w:hAnsi="Times New Roman" w:cs="Times New Roman"/>
          <w:sz w:val="24"/>
          <w:szCs w:val="24"/>
        </w:rPr>
        <w:t>Ģeomātika</w:t>
      </w:r>
      <w:proofErr w:type="spellEnd"/>
      <w:r w:rsidRPr="00DD606A">
        <w:rPr>
          <w:rFonts w:ascii="Times New Roman" w:hAnsi="Times New Roman" w:cs="Times New Roman"/>
          <w:sz w:val="24"/>
          <w:szCs w:val="24"/>
        </w:rPr>
        <w:t xml:space="preserve">” ir vienīgā šāda tipa programma Latvijas augstskolās, kas sagatavo studentus profesionālai darbībai ģeodēzijā, mērniecībā un </w:t>
      </w:r>
      <w:proofErr w:type="spellStart"/>
      <w:r w:rsidRPr="00DD606A">
        <w:rPr>
          <w:rFonts w:ascii="Times New Roman" w:hAnsi="Times New Roman" w:cs="Times New Roman"/>
          <w:sz w:val="24"/>
          <w:szCs w:val="24"/>
        </w:rPr>
        <w:t>ģeoinformācijā</w:t>
      </w:r>
      <w:proofErr w:type="spellEnd"/>
      <w:r w:rsidRPr="00DD606A">
        <w:rPr>
          <w:rFonts w:ascii="Times New Roman" w:hAnsi="Times New Roman" w:cs="Times New Roman"/>
          <w:sz w:val="24"/>
          <w:szCs w:val="24"/>
        </w:rPr>
        <w:t xml:space="preserve"> (ĢIS), kā arī zinātniskai pētniecībai visās minētajās jomās. Sagatavotie speciālisti ar dažādu tehniku veic mērījumus un teorētiskus aprēķinus, kas ļauj matemātiski analizēt, grafiski vizualizēt, aprakstīt planētas Zemes virsmu, tās formu un izmērus, veido ikdienas atbalsta punktu tīklu būvobjektiem, piedalās globālās pozicionēšanas sistēmu atbalsta bāzu inovācijās un neiedomājami precīzu koordinātu noteikšanā globālā koordinātu telpā. </w:t>
      </w:r>
      <w:proofErr w:type="spellStart"/>
      <w:r w:rsidRPr="00DD606A">
        <w:rPr>
          <w:rFonts w:ascii="Times New Roman" w:hAnsi="Times New Roman" w:cs="Times New Roman"/>
          <w:sz w:val="24"/>
          <w:szCs w:val="24"/>
        </w:rPr>
        <w:t>Ģeomātika</w:t>
      </w:r>
      <w:proofErr w:type="spellEnd"/>
      <w:r w:rsidRPr="00DD606A">
        <w:rPr>
          <w:rFonts w:ascii="Times New Roman" w:hAnsi="Times New Roman" w:cs="Times New Roman"/>
          <w:sz w:val="24"/>
          <w:szCs w:val="24"/>
        </w:rPr>
        <w:t xml:space="preserve"> ir viena no labākajām inženierzinātņu nozarēm, kas ir atvērtā tehnoloģiju attīstībai un labākajai praksei. </w:t>
      </w:r>
    </w:p>
    <w:p w:rsidR="00DD606A" w:rsidRDefault="00DD606A" w:rsidP="001D6A1D">
      <w:pPr>
        <w:ind w:firstLine="720"/>
        <w:jc w:val="both"/>
        <w:rPr>
          <w:rFonts w:ascii="Times New Roman" w:hAnsi="Times New Roman" w:cs="Times New Roman"/>
          <w:b/>
          <w:sz w:val="24"/>
          <w:szCs w:val="24"/>
          <w:u w:val="single"/>
        </w:rPr>
      </w:pPr>
    </w:p>
    <w:p w:rsidR="00DD606A" w:rsidRDefault="00DD606A" w:rsidP="00BA6216">
      <w:pPr>
        <w:jc w:val="both"/>
        <w:rPr>
          <w:rFonts w:ascii="Times New Roman" w:hAnsi="Times New Roman" w:cs="Times New Roman"/>
          <w:b/>
          <w:sz w:val="24"/>
          <w:szCs w:val="24"/>
          <w:u w:val="single"/>
        </w:rPr>
      </w:pPr>
    </w:p>
    <w:p w:rsidR="001D6A1D" w:rsidRPr="00DD606A" w:rsidRDefault="001D6A1D" w:rsidP="001D6A1D">
      <w:pPr>
        <w:ind w:firstLine="720"/>
        <w:jc w:val="both"/>
        <w:rPr>
          <w:rFonts w:ascii="Times New Roman" w:hAnsi="Times New Roman" w:cs="Times New Roman"/>
          <w:b/>
          <w:sz w:val="24"/>
          <w:szCs w:val="24"/>
          <w:u w:val="single"/>
        </w:rPr>
      </w:pPr>
      <w:proofErr w:type="spellStart"/>
      <w:r w:rsidRPr="00DD606A">
        <w:rPr>
          <w:rFonts w:ascii="Times New Roman" w:hAnsi="Times New Roman" w:cs="Times New Roman"/>
          <w:b/>
          <w:sz w:val="24"/>
          <w:szCs w:val="24"/>
          <w:u w:val="single"/>
        </w:rPr>
        <w:t>Transportbūves</w:t>
      </w:r>
      <w:proofErr w:type="spellEnd"/>
    </w:p>
    <w:p w:rsidR="001D6A1D" w:rsidRPr="00DD606A" w:rsidRDefault="00AC4E84" w:rsidP="001D6A1D">
      <w:pPr>
        <w:ind w:firstLine="720"/>
        <w:jc w:val="both"/>
        <w:rPr>
          <w:rFonts w:ascii="Times New Roman" w:hAnsi="Times New Roman" w:cs="Times New Roman"/>
          <w:sz w:val="24"/>
          <w:szCs w:val="24"/>
        </w:rPr>
      </w:pPr>
      <w:r w:rsidRPr="00DD606A">
        <w:rPr>
          <w:rFonts w:ascii="Times New Roman" w:hAnsi="Times New Roman" w:cs="Times New Roman"/>
          <w:color w:val="000000"/>
          <w:sz w:val="24"/>
          <w:szCs w:val="24"/>
          <w:shd w:val="clear" w:color="auto" w:fill="FFFFFF"/>
        </w:rPr>
        <w:t>Studiju programma “</w:t>
      </w:r>
      <w:proofErr w:type="spellStart"/>
      <w:r w:rsidRPr="00DD606A">
        <w:rPr>
          <w:rFonts w:ascii="Times New Roman" w:hAnsi="Times New Roman" w:cs="Times New Roman"/>
          <w:color w:val="000000"/>
          <w:sz w:val="24"/>
          <w:szCs w:val="24"/>
          <w:shd w:val="clear" w:color="auto" w:fill="FFFFFF"/>
        </w:rPr>
        <w:t>Transportbūves</w:t>
      </w:r>
      <w:proofErr w:type="spellEnd"/>
      <w:r w:rsidRPr="00DD606A">
        <w:rPr>
          <w:rFonts w:ascii="Times New Roman" w:hAnsi="Times New Roman" w:cs="Times New Roman"/>
          <w:color w:val="000000"/>
          <w:sz w:val="24"/>
          <w:szCs w:val="24"/>
          <w:shd w:val="clear" w:color="auto" w:fill="FFFFFF"/>
        </w:rPr>
        <w:t xml:space="preserve">” sagatavo inženierus, kuri var projektēt ceļus, tiltus un citas </w:t>
      </w:r>
      <w:proofErr w:type="spellStart"/>
      <w:r w:rsidRPr="00DD606A">
        <w:rPr>
          <w:rFonts w:ascii="Times New Roman" w:hAnsi="Times New Roman" w:cs="Times New Roman"/>
          <w:color w:val="000000"/>
          <w:sz w:val="24"/>
          <w:szCs w:val="24"/>
          <w:shd w:val="clear" w:color="auto" w:fill="FFFFFF"/>
        </w:rPr>
        <w:t>transportbūves</w:t>
      </w:r>
      <w:proofErr w:type="spellEnd"/>
      <w:r w:rsidRPr="00DD606A">
        <w:rPr>
          <w:rFonts w:ascii="Times New Roman" w:hAnsi="Times New Roman" w:cs="Times New Roman"/>
          <w:color w:val="000000"/>
          <w:sz w:val="24"/>
          <w:szCs w:val="24"/>
          <w:shd w:val="clear" w:color="auto" w:fill="FFFFFF"/>
        </w:rPr>
        <w:t>, veikt konstrukciju aprēķinus, vadīt būvprojektus, uzturēt šīs būves ekspluatācijas kārtībā, izpētīt un organizēt autosatiksmi. Inženieri pārzina būvniecības materiālu tehnoloģiju un būvdarbu vadīšanu, autosatiksmes norises likumsakarības, var organizēt un vadīt būvlaukuma resursus, veikt būvniecības un uzturēšanas procesa plānošanu un uzraudzību. </w:t>
      </w:r>
    </w:p>
    <w:p w:rsidR="008F67B0" w:rsidRPr="00DD606A" w:rsidRDefault="008F67B0" w:rsidP="008F67B0">
      <w:pPr>
        <w:ind w:firstLine="720"/>
        <w:jc w:val="both"/>
        <w:rPr>
          <w:rFonts w:ascii="Times New Roman" w:hAnsi="Times New Roman" w:cs="Times New Roman"/>
          <w:b/>
          <w:sz w:val="24"/>
          <w:szCs w:val="24"/>
          <w:u w:val="single"/>
        </w:rPr>
      </w:pPr>
      <w:r w:rsidRPr="00DD606A">
        <w:rPr>
          <w:rFonts w:ascii="Times New Roman" w:hAnsi="Times New Roman" w:cs="Times New Roman"/>
          <w:b/>
          <w:sz w:val="24"/>
          <w:szCs w:val="24"/>
          <w:u w:val="single"/>
        </w:rPr>
        <w:t>Siltuma, gāzes un ūdens tehnoloģija</w:t>
      </w:r>
    </w:p>
    <w:p w:rsidR="008F67B0" w:rsidRPr="00DD606A" w:rsidRDefault="003F6FAE" w:rsidP="008F67B0">
      <w:pPr>
        <w:ind w:firstLine="426"/>
        <w:jc w:val="both"/>
        <w:rPr>
          <w:rFonts w:ascii="Times New Roman" w:hAnsi="Times New Roman" w:cs="Times New Roman"/>
          <w:sz w:val="24"/>
          <w:szCs w:val="24"/>
        </w:rPr>
      </w:pPr>
      <w:r w:rsidRPr="00DD606A">
        <w:rPr>
          <w:rFonts w:ascii="Times New Roman" w:hAnsi="Times New Roman" w:cs="Times New Roman"/>
          <w:color w:val="201F1E"/>
          <w:sz w:val="24"/>
          <w:szCs w:val="24"/>
          <w:shd w:val="clear" w:color="auto" w:fill="FFFFFF"/>
        </w:rPr>
        <w:t xml:space="preserve">"Siltuma, gāzes un ūdens tehnoloģija” sagatavo vispusīgus inženierus un pētniekus, kuri prot projektēt, ekspluatēt un vadīt būvdarbus pilsētu un ēku </w:t>
      </w:r>
      <w:proofErr w:type="spellStart"/>
      <w:r w:rsidRPr="00DD606A">
        <w:rPr>
          <w:rFonts w:ascii="Times New Roman" w:hAnsi="Times New Roman" w:cs="Times New Roman"/>
          <w:color w:val="201F1E"/>
          <w:sz w:val="24"/>
          <w:szCs w:val="24"/>
          <w:shd w:val="clear" w:color="auto" w:fill="FFFFFF"/>
        </w:rPr>
        <w:t>inženiersistēmām</w:t>
      </w:r>
      <w:proofErr w:type="spellEnd"/>
      <w:r w:rsidRPr="00DD606A">
        <w:rPr>
          <w:rFonts w:ascii="Times New Roman" w:hAnsi="Times New Roman" w:cs="Times New Roman"/>
          <w:color w:val="201F1E"/>
          <w:sz w:val="24"/>
          <w:szCs w:val="24"/>
          <w:shd w:val="clear" w:color="auto" w:fill="FFFFFF"/>
        </w:rPr>
        <w:t>, kā arī veikt ēku apsekošanu un energoefektivitātes aprēķinus. Papildus tiek apgūtas zināšanas par modernākajiem atjaunojamiem energoresursiem un to pielietošanas iespējām sākot no privātmājām līdz pilsētu energoapgādes sistēmām.</w:t>
      </w:r>
      <w:r w:rsidR="008F67B0" w:rsidRPr="00DD606A">
        <w:rPr>
          <w:rFonts w:ascii="Times New Roman" w:hAnsi="Times New Roman" w:cs="Times New Roman"/>
          <w:sz w:val="24"/>
          <w:szCs w:val="24"/>
        </w:rPr>
        <w:t xml:space="preserve"> </w:t>
      </w:r>
    </w:p>
    <w:p w:rsidR="008F67B0" w:rsidRPr="00DD606A" w:rsidRDefault="008F67B0" w:rsidP="008F67B0">
      <w:pPr>
        <w:ind w:firstLine="720"/>
        <w:jc w:val="both"/>
        <w:rPr>
          <w:rFonts w:ascii="Times New Roman" w:hAnsi="Times New Roman" w:cs="Times New Roman"/>
          <w:b/>
          <w:sz w:val="24"/>
          <w:szCs w:val="24"/>
          <w:u w:val="single"/>
        </w:rPr>
      </w:pPr>
      <w:r w:rsidRPr="00DD606A">
        <w:rPr>
          <w:rFonts w:ascii="Times New Roman" w:hAnsi="Times New Roman" w:cs="Times New Roman"/>
          <w:b/>
          <w:sz w:val="24"/>
          <w:szCs w:val="24"/>
          <w:u w:val="single"/>
        </w:rPr>
        <w:t>Mašīnu un aparātu būvniecība</w:t>
      </w:r>
    </w:p>
    <w:p w:rsidR="00DD606A" w:rsidRPr="00DD606A" w:rsidRDefault="00DD606A" w:rsidP="00DD606A">
      <w:pPr>
        <w:ind w:firstLine="720"/>
        <w:jc w:val="both"/>
        <w:rPr>
          <w:rFonts w:ascii="Times New Roman" w:hAnsi="Times New Roman" w:cs="Times New Roman"/>
          <w:sz w:val="24"/>
          <w:szCs w:val="24"/>
        </w:rPr>
      </w:pPr>
      <w:r w:rsidRPr="00DD606A">
        <w:rPr>
          <w:rFonts w:ascii="Times New Roman" w:hAnsi="Times New Roman" w:cs="Times New Roman"/>
          <w:sz w:val="24"/>
          <w:szCs w:val="24"/>
        </w:rPr>
        <w:t>Bakalaura profesionālo studiju programmā “Mašīnu un aparātu būvniecība” sagatavo mehānikas inženierus, kas var strādāt metālapstrādes, mašīnbūves, projektēšanas, kā arī lauksaimniecības, transporta, celtniecības un tirdzniecības uzņēmumos, un piedalīties projektēšanas, ražošanas, pētniecības, tehniskās uzraudzības, izstrādājumu pilnveidošanas un realizācijas procesos.</w:t>
      </w:r>
    </w:p>
    <w:p w:rsidR="001D6A1D" w:rsidRPr="00DD606A" w:rsidRDefault="001D6A1D" w:rsidP="001D6A1D">
      <w:pPr>
        <w:ind w:firstLine="720"/>
        <w:jc w:val="both"/>
        <w:rPr>
          <w:rFonts w:ascii="Times New Roman" w:hAnsi="Times New Roman" w:cs="Times New Roman"/>
          <w:b/>
          <w:sz w:val="24"/>
          <w:szCs w:val="24"/>
          <w:u w:val="single"/>
        </w:rPr>
      </w:pPr>
      <w:r w:rsidRPr="00DD606A">
        <w:rPr>
          <w:rFonts w:ascii="Times New Roman" w:hAnsi="Times New Roman" w:cs="Times New Roman"/>
          <w:b/>
          <w:sz w:val="24"/>
          <w:szCs w:val="24"/>
          <w:u w:val="single"/>
        </w:rPr>
        <w:t>Automobiļu transports</w:t>
      </w:r>
    </w:p>
    <w:p w:rsidR="008F67B0" w:rsidRDefault="001D6A1D" w:rsidP="00DD606A">
      <w:pPr>
        <w:ind w:firstLine="720"/>
        <w:jc w:val="both"/>
        <w:rPr>
          <w:rFonts w:ascii="Times New Roman" w:eastAsia="Calibri" w:hAnsi="Times New Roman" w:cs="Times New Roman"/>
          <w:b/>
          <w:bCs/>
          <w:color w:val="C00000"/>
          <w:kern w:val="24"/>
          <w:sz w:val="26"/>
          <w:szCs w:val="26"/>
          <w:lang w:eastAsia="lv-LV"/>
        </w:rPr>
      </w:pPr>
      <w:r w:rsidRPr="00DD606A">
        <w:rPr>
          <w:rFonts w:ascii="Times New Roman" w:hAnsi="Times New Roman" w:cs="Times New Roman"/>
          <w:sz w:val="24"/>
          <w:szCs w:val="24"/>
        </w:rPr>
        <w:t>Studiju programma “Automobiļu transports” paredzēta autotransporta inženieru sagatavošanai, kuri ir automobiļu transporta tehnisko, tehnoloģisko un organizatorisko procesu izstrādātāji, ieviesēji un vadītāji. Programma ietver mehānikas un mašīnbūvniecības inženiertehniskos, automobiļu transporta specializējošos, uzņēmējdarbības un vispārizglītojošus studiju priekšmetus. Autotransporta inženieri strādā transporta, ražošanas un projektēšanas uzņēmumos.</w:t>
      </w:r>
    </w:p>
    <w:p w:rsidR="00DD606A" w:rsidRDefault="00DD606A" w:rsidP="00D96768">
      <w:pPr>
        <w:spacing w:before="115"/>
        <w:ind w:left="2858" w:firstLine="382"/>
        <w:rPr>
          <w:rFonts w:ascii="Times New Roman" w:eastAsia="Calibri" w:hAnsi="Times New Roman" w:cs="Times New Roman"/>
          <w:b/>
          <w:bCs/>
          <w:color w:val="C00000"/>
          <w:kern w:val="24"/>
          <w:sz w:val="26"/>
          <w:szCs w:val="26"/>
          <w:u w:val="single"/>
          <w:lang w:eastAsia="lv-LV"/>
        </w:rPr>
      </w:pPr>
    </w:p>
    <w:p w:rsidR="00DD606A" w:rsidRDefault="00DD606A" w:rsidP="00BA6216">
      <w:pPr>
        <w:spacing w:before="115"/>
        <w:rPr>
          <w:rFonts w:ascii="Times New Roman" w:eastAsia="Calibri" w:hAnsi="Times New Roman" w:cs="Times New Roman"/>
          <w:b/>
          <w:bCs/>
          <w:color w:val="C00000"/>
          <w:kern w:val="24"/>
          <w:sz w:val="26"/>
          <w:szCs w:val="26"/>
          <w:u w:val="single"/>
          <w:lang w:eastAsia="lv-LV"/>
        </w:rPr>
      </w:pPr>
    </w:p>
    <w:p w:rsidR="00DD606A" w:rsidRDefault="00DD606A" w:rsidP="00D96768">
      <w:pPr>
        <w:spacing w:before="115"/>
        <w:ind w:left="2858" w:firstLine="382"/>
        <w:rPr>
          <w:rFonts w:ascii="Times New Roman" w:eastAsia="Calibri" w:hAnsi="Times New Roman" w:cs="Times New Roman"/>
          <w:b/>
          <w:bCs/>
          <w:color w:val="C00000"/>
          <w:kern w:val="24"/>
          <w:sz w:val="26"/>
          <w:szCs w:val="26"/>
          <w:u w:val="single"/>
          <w:lang w:eastAsia="lv-LV"/>
        </w:rPr>
      </w:pPr>
    </w:p>
    <w:p w:rsidR="001D6A1D" w:rsidRPr="00F232D9" w:rsidRDefault="001D6A1D" w:rsidP="00D96768">
      <w:pPr>
        <w:spacing w:before="115"/>
        <w:ind w:left="2858" w:firstLine="382"/>
        <w:rPr>
          <w:rFonts w:ascii="Times New Roman" w:eastAsia="Times New Roman" w:hAnsi="Times New Roman" w:cs="Times New Roman"/>
          <w:color w:val="C00000"/>
          <w:sz w:val="26"/>
          <w:szCs w:val="26"/>
          <w:u w:val="single"/>
          <w:lang w:eastAsia="lv-LV"/>
        </w:rPr>
      </w:pPr>
      <w:r w:rsidRPr="00F232D9">
        <w:rPr>
          <w:rFonts w:ascii="Times New Roman" w:eastAsia="Calibri" w:hAnsi="Times New Roman" w:cs="Times New Roman"/>
          <w:b/>
          <w:bCs/>
          <w:color w:val="C00000"/>
          <w:kern w:val="24"/>
          <w:sz w:val="26"/>
          <w:szCs w:val="26"/>
          <w:u w:val="single"/>
          <w:lang w:eastAsia="lv-LV"/>
        </w:rPr>
        <w:t>RTU Neklātienes un vakara studiju departaments</w:t>
      </w:r>
    </w:p>
    <w:p w:rsidR="001D6A1D" w:rsidRPr="00BA6216" w:rsidRDefault="00BA6216" w:rsidP="00BA6216">
      <w:pPr>
        <w:ind w:left="3600"/>
        <w:contextualSpacing/>
        <w:rPr>
          <w:rFonts w:ascii="Times New Roman" w:eastAsia="Times New Roman" w:hAnsi="Times New Roman" w:cs="Times New Roman"/>
          <w:sz w:val="24"/>
          <w:szCs w:val="24"/>
          <w:lang w:eastAsia="lv-LV"/>
        </w:rPr>
      </w:pPr>
      <w:r w:rsidRPr="00D96768">
        <w:rPr>
          <w:rFonts w:ascii="Times New Roman" w:eastAsia="Calibri" w:hAnsi="Times New Roman" w:cs="Times New Roman"/>
          <w:b/>
          <w:bCs/>
          <w:noProof/>
          <w:color w:val="FF0000"/>
          <w:sz w:val="24"/>
          <w:szCs w:val="24"/>
          <w:lang w:eastAsia="lv-LV"/>
        </w:rPr>
        <w:drawing>
          <wp:anchor distT="0" distB="0" distL="114300" distR="114300" simplePos="0" relativeHeight="251659264" behindDoc="1" locked="0" layoutInCell="1" allowOverlap="1" wp14:anchorId="2A4922FF" wp14:editId="52D05B31">
            <wp:simplePos x="0" y="0"/>
            <wp:positionH relativeFrom="margin">
              <wp:posOffset>276225</wp:posOffset>
            </wp:positionH>
            <wp:positionV relativeFrom="paragraph">
              <wp:posOffset>8255</wp:posOffset>
            </wp:positionV>
            <wp:extent cx="1323975" cy="1894205"/>
            <wp:effectExtent l="0" t="0" r="0" b="0"/>
            <wp:wrapTight wrapText="bothSides">
              <wp:wrapPolygon edited="0">
                <wp:start x="0" y="0"/>
                <wp:lineTo x="0" y="21289"/>
                <wp:lineTo x="21134" y="21289"/>
                <wp:lineTo x="21134" y="0"/>
                <wp:lineTo x="0" y="0"/>
              </wp:wrapPolygon>
            </wp:wrapTight>
            <wp:docPr id="2" name="Attēls 2" descr="C:\Users\Margrieta\Desktop\NVSD_prezentacijas_materiali\BILDES_INFO_materialiem\students_gradu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grieta\Desktop\NVSD_prezentacijas_materiali\BILDES_INFO_materialiem\students_graduatio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23975" cy="18942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6216">
        <w:rPr>
          <w:rFonts w:ascii="Segoe UI Symbol" w:eastAsia="Calibri" w:hAnsi="Segoe UI Symbol" w:cs="Times New Roman"/>
          <w:color w:val="005551"/>
          <w:kern w:val="24"/>
          <w:sz w:val="24"/>
          <w:szCs w:val="24"/>
          <w:lang w:eastAsia="lv-LV"/>
        </w:rPr>
        <w:t xml:space="preserve">🏠 </w:t>
      </w:r>
      <w:r>
        <w:rPr>
          <w:rFonts w:ascii="Segoe UI Symbol" w:eastAsia="Calibri" w:hAnsi="Segoe UI Symbol" w:cs="Times New Roman"/>
          <w:color w:val="005551"/>
          <w:kern w:val="24"/>
          <w:sz w:val="24"/>
          <w:szCs w:val="24"/>
          <w:lang w:eastAsia="lv-LV"/>
        </w:rPr>
        <w:t xml:space="preserve"> </w:t>
      </w:r>
      <w:r w:rsidR="001D6A1D" w:rsidRPr="00BA6216">
        <w:rPr>
          <w:rFonts w:ascii="Times New Roman" w:eastAsia="Calibri" w:hAnsi="Times New Roman" w:cs="Times New Roman"/>
          <w:color w:val="005551"/>
          <w:kern w:val="24"/>
          <w:sz w:val="24"/>
          <w:szCs w:val="24"/>
          <w:lang w:eastAsia="lv-LV"/>
        </w:rPr>
        <w:t>Rīga,</w:t>
      </w:r>
      <w:r w:rsidR="001D6A1D" w:rsidRPr="00BA6216">
        <w:rPr>
          <w:rFonts w:ascii="Times New Roman" w:eastAsia="Calibri" w:hAnsi="Times New Roman" w:cs="Times New Roman"/>
          <w:b/>
          <w:bCs/>
          <w:color w:val="005551"/>
          <w:kern w:val="24"/>
          <w:sz w:val="24"/>
          <w:szCs w:val="24"/>
          <w:lang w:eastAsia="lv-LV"/>
        </w:rPr>
        <w:t xml:space="preserve"> </w:t>
      </w:r>
      <w:r w:rsidR="001D6A1D" w:rsidRPr="00BA6216">
        <w:rPr>
          <w:rFonts w:ascii="Times New Roman" w:eastAsia="Calibri" w:hAnsi="Times New Roman" w:cs="Times New Roman"/>
          <w:color w:val="005551"/>
          <w:kern w:val="24"/>
          <w:sz w:val="24"/>
          <w:szCs w:val="24"/>
          <w:lang w:eastAsia="lv-LV"/>
        </w:rPr>
        <w:t xml:space="preserve">Paula </w:t>
      </w:r>
      <w:proofErr w:type="spellStart"/>
      <w:r w:rsidR="001D6A1D" w:rsidRPr="00BA6216">
        <w:rPr>
          <w:rFonts w:ascii="Times New Roman" w:eastAsia="Calibri" w:hAnsi="Times New Roman" w:cs="Times New Roman"/>
          <w:color w:val="005551"/>
          <w:kern w:val="24"/>
          <w:sz w:val="24"/>
          <w:szCs w:val="24"/>
          <w:lang w:eastAsia="lv-LV"/>
        </w:rPr>
        <w:t>Valdena</w:t>
      </w:r>
      <w:proofErr w:type="spellEnd"/>
      <w:r w:rsidR="001D6A1D" w:rsidRPr="00BA6216">
        <w:rPr>
          <w:rFonts w:ascii="Times New Roman" w:eastAsia="Calibri" w:hAnsi="Times New Roman" w:cs="Times New Roman"/>
          <w:color w:val="005551"/>
          <w:kern w:val="24"/>
          <w:sz w:val="24"/>
          <w:szCs w:val="24"/>
          <w:lang w:eastAsia="lv-LV"/>
        </w:rPr>
        <w:t xml:space="preserve"> iela 5, 5.01. un 2.04. kab. </w:t>
      </w:r>
    </w:p>
    <w:p w:rsidR="001D6A1D" w:rsidRPr="00BA6216" w:rsidRDefault="00BA6216" w:rsidP="00BA6216">
      <w:pPr>
        <w:ind w:left="3600"/>
        <w:contextualSpacing/>
        <w:rPr>
          <w:rFonts w:ascii="Times New Roman" w:eastAsia="Times New Roman" w:hAnsi="Times New Roman" w:cs="Times New Roman"/>
          <w:sz w:val="24"/>
          <w:szCs w:val="24"/>
          <w:lang w:eastAsia="lv-LV"/>
        </w:rPr>
      </w:pPr>
      <w:r w:rsidRPr="00BA6216">
        <w:rPr>
          <w:rFonts w:ascii="Segoe UI Symbol" w:eastAsia="Calibri" w:hAnsi="Segoe UI Symbol" w:cs="Times New Roman"/>
          <w:color w:val="005551"/>
          <w:kern w:val="24"/>
          <w:sz w:val="24"/>
          <w:szCs w:val="24"/>
          <w:lang w:eastAsia="lv-LV"/>
        </w:rPr>
        <w:t>🕿</w:t>
      </w:r>
      <w:r w:rsidR="001D6A1D" w:rsidRPr="00BA6216">
        <w:rPr>
          <w:rFonts w:ascii="Times New Roman" w:eastAsia="Calibri" w:hAnsi="Times New Roman" w:cs="Times New Roman"/>
          <w:color w:val="005551"/>
          <w:kern w:val="24"/>
          <w:sz w:val="24"/>
          <w:szCs w:val="24"/>
          <w:lang w:eastAsia="lv-LV"/>
        </w:rPr>
        <w:t xml:space="preserve"> </w:t>
      </w:r>
      <w:r>
        <w:rPr>
          <w:rFonts w:ascii="Times New Roman" w:eastAsia="Calibri" w:hAnsi="Times New Roman" w:cs="Times New Roman"/>
          <w:color w:val="005551"/>
          <w:kern w:val="24"/>
          <w:sz w:val="24"/>
          <w:szCs w:val="24"/>
          <w:lang w:eastAsia="lv-LV"/>
        </w:rPr>
        <w:t xml:space="preserve"> </w:t>
      </w:r>
      <w:r w:rsidR="001D6A1D" w:rsidRPr="00BA6216">
        <w:rPr>
          <w:rFonts w:ascii="Times New Roman" w:eastAsia="Calibri" w:hAnsi="Times New Roman" w:cs="Times New Roman"/>
          <w:color w:val="005551"/>
          <w:kern w:val="24"/>
          <w:sz w:val="24"/>
          <w:szCs w:val="24"/>
          <w:lang w:eastAsia="lv-LV"/>
        </w:rPr>
        <w:t>67089413 (bakalaura līmeņa studijas)</w:t>
      </w:r>
    </w:p>
    <w:p w:rsidR="001D6A1D" w:rsidRPr="00BA6216" w:rsidRDefault="00BA6216" w:rsidP="00BA6216">
      <w:pPr>
        <w:ind w:left="3600"/>
        <w:contextualSpacing/>
        <w:rPr>
          <w:rFonts w:ascii="Times New Roman" w:eastAsia="Times New Roman" w:hAnsi="Times New Roman" w:cs="Times New Roman"/>
          <w:sz w:val="24"/>
          <w:szCs w:val="24"/>
          <w:lang w:eastAsia="lv-LV"/>
        </w:rPr>
      </w:pPr>
      <w:r w:rsidRPr="00BA6216">
        <w:rPr>
          <w:rFonts w:ascii="Segoe UI Symbol" w:eastAsia="Calibri" w:hAnsi="Segoe UI Symbol" w:cs="Times New Roman"/>
          <w:color w:val="005551"/>
          <w:kern w:val="24"/>
          <w:sz w:val="24"/>
          <w:szCs w:val="24"/>
          <w:lang w:eastAsia="lv-LV"/>
        </w:rPr>
        <w:t>🕿</w:t>
      </w:r>
      <w:r w:rsidR="001D6A1D" w:rsidRPr="00BA6216">
        <w:rPr>
          <w:rFonts w:ascii="Times New Roman" w:eastAsia="Calibri" w:hAnsi="Times New Roman" w:cs="Times New Roman"/>
          <w:color w:val="005551"/>
          <w:kern w:val="24"/>
          <w:sz w:val="24"/>
          <w:szCs w:val="24"/>
          <w:lang w:eastAsia="lv-LV"/>
        </w:rPr>
        <w:t xml:space="preserve"> </w:t>
      </w:r>
      <w:r>
        <w:rPr>
          <w:rFonts w:ascii="Times New Roman" w:eastAsia="Calibri" w:hAnsi="Times New Roman" w:cs="Times New Roman"/>
          <w:color w:val="005551"/>
          <w:kern w:val="24"/>
          <w:sz w:val="24"/>
          <w:szCs w:val="24"/>
          <w:lang w:eastAsia="lv-LV"/>
        </w:rPr>
        <w:t xml:space="preserve"> </w:t>
      </w:r>
      <w:r w:rsidR="001D6A1D" w:rsidRPr="00BA6216">
        <w:rPr>
          <w:rFonts w:ascii="Times New Roman" w:eastAsia="Calibri" w:hAnsi="Times New Roman" w:cs="Times New Roman"/>
          <w:color w:val="005551"/>
          <w:kern w:val="24"/>
          <w:sz w:val="24"/>
          <w:szCs w:val="24"/>
          <w:lang w:eastAsia="lv-LV"/>
        </w:rPr>
        <w:t>670894</w:t>
      </w:r>
      <w:r w:rsidR="00F232D9" w:rsidRPr="00BA6216">
        <w:rPr>
          <w:rFonts w:ascii="Times New Roman" w:eastAsia="Calibri" w:hAnsi="Times New Roman" w:cs="Times New Roman"/>
          <w:color w:val="005551"/>
          <w:kern w:val="24"/>
          <w:sz w:val="24"/>
          <w:szCs w:val="24"/>
          <w:lang w:eastAsia="lv-LV"/>
        </w:rPr>
        <w:t>96</w:t>
      </w:r>
      <w:r w:rsidR="001D6A1D" w:rsidRPr="00BA6216">
        <w:rPr>
          <w:rFonts w:ascii="Times New Roman" w:eastAsia="Calibri" w:hAnsi="Times New Roman" w:cs="Times New Roman"/>
          <w:color w:val="005551"/>
          <w:kern w:val="24"/>
          <w:sz w:val="24"/>
          <w:szCs w:val="24"/>
          <w:lang w:eastAsia="lv-LV"/>
        </w:rPr>
        <w:t xml:space="preserve"> (maģistra līmeņa studijas) </w:t>
      </w:r>
    </w:p>
    <w:p w:rsidR="001D6A1D" w:rsidRPr="00BA6216" w:rsidRDefault="00BA6216" w:rsidP="00BA6216">
      <w:pPr>
        <w:ind w:left="3600"/>
        <w:contextualSpacing/>
        <w:rPr>
          <w:rFonts w:ascii="Times New Roman" w:eastAsia="Times New Roman" w:hAnsi="Times New Roman" w:cs="Times New Roman"/>
          <w:sz w:val="24"/>
          <w:szCs w:val="24"/>
          <w:lang w:eastAsia="lv-LV"/>
        </w:rPr>
      </w:pPr>
      <w:r w:rsidRPr="00BA6216">
        <w:rPr>
          <w:rFonts w:ascii="Segoe UI Symbol" w:eastAsia="Calibri" w:hAnsi="Segoe UI Symbol" w:cs="Times New Roman"/>
          <w:color w:val="005551"/>
          <w:kern w:val="24"/>
          <w:sz w:val="24"/>
          <w:szCs w:val="24"/>
          <w:lang w:eastAsia="lv-LV"/>
        </w:rPr>
        <w:t>📧</w:t>
      </w:r>
      <w:r w:rsidRPr="00BA6216">
        <w:rPr>
          <w:rFonts w:ascii="Segoe UI Symbol" w:eastAsia="Calibri" w:hAnsi="Segoe UI Symbol" w:cs="Times New Roman"/>
          <w:color w:val="005551"/>
          <w:kern w:val="24"/>
          <w:sz w:val="24"/>
          <w:szCs w:val="24"/>
          <w:lang w:eastAsia="lv-LV"/>
        </w:rPr>
        <w:t xml:space="preserve"> </w:t>
      </w:r>
      <w:r>
        <w:rPr>
          <w:rFonts w:ascii="Segoe UI Symbol" w:eastAsia="Calibri" w:hAnsi="Segoe UI Symbol" w:cs="Times New Roman"/>
          <w:color w:val="005551"/>
          <w:kern w:val="24"/>
          <w:sz w:val="24"/>
          <w:szCs w:val="24"/>
          <w:lang w:eastAsia="lv-LV"/>
        </w:rPr>
        <w:t xml:space="preserve"> </w:t>
      </w:r>
      <w:r w:rsidR="001D6A1D" w:rsidRPr="00BA6216">
        <w:rPr>
          <w:rFonts w:ascii="Times New Roman" w:eastAsia="Calibri" w:hAnsi="Times New Roman" w:cs="Times New Roman"/>
          <w:color w:val="005551"/>
          <w:kern w:val="24"/>
          <w:sz w:val="24"/>
          <w:szCs w:val="24"/>
          <w:lang w:eastAsia="lv-LV"/>
        </w:rPr>
        <w:t>Laura.Uzule@rtu.lv</w:t>
      </w:r>
      <w:r w:rsidR="001D6A1D" w:rsidRPr="00BA6216">
        <w:rPr>
          <w:rFonts w:ascii="Times New Roman" w:eastAsia="Times New Roman" w:hAnsi="Times New Roman" w:cs="Times New Roman"/>
          <w:snapToGrid w:val="0"/>
          <w:color w:val="000000"/>
          <w:w w:val="0"/>
          <w:sz w:val="24"/>
          <w:szCs w:val="24"/>
          <w:u w:color="000000"/>
          <w:bdr w:val="none" w:sz="0" w:space="0" w:color="000000"/>
          <w:shd w:val="clear" w:color="000000" w:fill="000000"/>
          <w:lang w:val="x-none" w:eastAsia="x-none" w:bidi="x-none"/>
        </w:rPr>
        <w:t xml:space="preserve"> </w:t>
      </w:r>
    </w:p>
    <w:p w:rsidR="001D6A1D" w:rsidRPr="00BA6216" w:rsidRDefault="00BA6216" w:rsidP="00BA6216">
      <w:pPr>
        <w:ind w:left="3600"/>
        <w:contextualSpacing/>
        <w:rPr>
          <w:rFonts w:ascii="Times New Roman" w:eastAsia="Times New Roman" w:hAnsi="Times New Roman" w:cs="Times New Roman"/>
          <w:b/>
          <w:sz w:val="24"/>
          <w:szCs w:val="24"/>
          <w:lang w:eastAsia="lv-LV"/>
        </w:rPr>
      </w:pPr>
      <w:r>
        <w:rPr>
          <w:rFonts w:ascii="Segoe UI Symbol" w:eastAsia="Calibri" w:hAnsi="Segoe UI Symbol" w:cs="Times New Roman"/>
          <w:color w:val="005551"/>
          <w:kern w:val="24"/>
          <w:sz w:val="24"/>
          <w:szCs w:val="24"/>
          <w:lang w:eastAsia="lv-LV"/>
        </w:rPr>
        <w:t>💻</w:t>
      </w:r>
      <w:r w:rsidRPr="00BA6216">
        <w:rPr>
          <w:rFonts w:ascii="Times New Roman" w:eastAsia="Calibri" w:hAnsi="Times New Roman" w:cs="Times New Roman"/>
          <w:b/>
          <w:color w:val="005551"/>
          <w:kern w:val="24"/>
          <w:sz w:val="24"/>
          <w:szCs w:val="24"/>
          <w:lang w:eastAsia="lv-LV"/>
        </w:rPr>
        <w:t xml:space="preserve"> </w:t>
      </w:r>
      <w:bookmarkStart w:id="0" w:name="_GoBack"/>
      <w:bookmarkEnd w:id="0"/>
      <w:r w:rsidRPr="00BA6216">
        <w:rPr>
          <w:rFonts w:ascii="Times New Roman" w:eastAsia="Calibri" w:hAnsi="Times New Roman" w:cs="Times New Roman"/>
          <w:b/>
          <w:color w:val="005551"/>
          <w:kern w:val="24"/>
          <w:sz w:val="24"/>
          <w:szCs w:val="24"/>
          <w:lang w:eastAsia="lv-LV"/>
        </w:rPr>
        <w:t xml:space="preserve"> </w:t>
      </w:r>
      <w:r w:rsidR="001D6A1D" w:rsidRPr="00BA6216">
        <w:rPr>
          <w:rFonts w:ascii="Times New Roman" w:eastAsia="Calibri" w:hAnsi="Times New Roman" w:cs="Times New Roman"/>
          <w:b/>
          <w:color w:val="005551"/>
          <w:kern w:val="24"/>
          <w:sz w:val="24"/>
          <w:szCs w:val="24"/>
          <w:lang w:eastAsia="lv-LV"/>
        </w:rPr>
        <w:t>rtu.lv/</w:t>
      </w:r>
      <w:proofErr w:type="spellStart"/>
      <w:r w:rsidR="001D6A1D" w:rsidRPr="00BA6216">
        <w:rPr>
          <w:rFonts w:ascii="Times New Roman" w:eastAsia="Calibri" w:hAnsi="Times New Roman" w:cs="Times New Roman"/>
          <w:b/>
          <w:color w:val="005551"/>
          <w:kern w:val="24"/>
          <w:sz w:val="24"/>
          <w:szCs w:val="24"/>
          <w:lang w:eastAsia="lv-LV"/>
        </w:rPr>
        <w:t>neklatiene</w:t>
      </w:r>
      <w:proofErr w:type="spellEnd"/>
    </w:p>
    <w:p w:rsidR="00BA1DEE" w:rsidRPr="00BA6216" w:rsidRDefault="00BA1DEE">
      <w:pPr>
        <w:rPr>
          <w:sz w:val="24"/>
          <w:szCs w:val="24"/>
        </w:rPr>
      </w:pPr>
    </w:p>
    <w:sectPr w:rsidR="00BA1DEE" w:rsidRPr="00BA6216" w:rsidSect="00DD606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66D46"/>
    <w:multiLevelType w:val="multilevel"/>
    <w:tmpl w:val="EA8C8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240589"/>
    <w:multiLevelType w:val="hybridMultilevel"/>
    <w:tmpl w:val="A80411CC"/>
    <w:lvl w:ilvl="0" w:tplc="8EA82D1A">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15:restartNumberingAfterBreak="0">
    <w:nsid w:val="3D11694C"/>
    <w:multiLevelType w:val="hybridMultilevel"/>
    <w:tmpl w:val="CF6AAA9C"/>
    <w:lvl w:ilvl="0" w:tplc="9CD8820C">
      <w:start w:val="1"/>
      <w:numFmt w:val="bullet"/>
      <w:lvlText w:val=""/>
      <w:lvlJc w:val="left"/>
      <w:pPr>
        <w:tabs>
          <w:tab w:val="num" w:pos="720"/>
        </w:tabs>
        <w:ind w:left="720" w:hanging="360"/>
      </w:pPr>
      <w:rPr>
        <w:rFonts w:ascii="Wingdings" w:hAnsi="Wingdings" w:hint="default"/>
      </w:rPr>
    </w:lvl>
    <w:lvl w:ilvl="1" w:tplc="6618152C" w:tentative="1">
      <w:start w:val="1"/>
      <w:numFmt w:val="bullet"/>
      <w:lvlText w:val=""/>
      <w:lvlJc w:val="left"/>
      <w:pPr>
        <w:tabs>
          <w:tab w:val="num" w:pos="1440"/>
        </w:tabs>
        <w:ind w:left="1440" w:hanging="360"/>
      </w:pPr>
      <w:rPr>
        <w:rFonts w:ascii="Wingdings" w:hAnsi="Wingdings" w:hint="default"/>
      </w:rPr>
    </w:lvl>
    <w:lvl w:ilvl="2" w:tplc="83804284">
      <w:start w:val="1"/>
      <w:numFmt w:val="bullet"/>
      <w:lvlText w:val=""/>
      <w:lvlJc w:val="left"/>
      <w:pPr>
        <w:tabs>
          <w:tab w:val="num" w:pos="2160"/>
        </w:tabs>
        <w:ind w:left="2160" w:hanging="360"/>
      </w:pPr>
      <w:rPr>
        <w:rFonts w:ascii="Wingdings" w:hAnsi="Wingdings" w:hint="default"/>
      </w:rPr>
    </w:lvl>
    <w:lvl w:ilvl="3" w:tplc="1DC806C0">
      <w:start w:val="1"/>
      <w:numFmt w:val="bullet"/>
      <w:lvlText w:val=""/>
      <w:lvlJc w:val="left"/>
      <w:pPr>
        <w:tabs>
          <w:tab w:val="num" w:pos="2880"/>
        </w:tabs>
        <w:ind w:left="2880" w:hanging="360"/>
      </w:pPr>
      <w:rPr>
        <w:rFonts w:ascii="Wingdings" w:hAnsi="Wingdings" w:hint="default"/>
      </w:rPr>
    </w:lvl>
    <w:lvl w:ilvl="4" w:tplc="3D60E918">
      <w:start w:val="1"/>
      <w:numFmt w:val="bullet"/>
      <w:lvlText w:val=""/>
      <w:lvlJc w:val="left"/>
      <w:pPr>
        <w:tabs>
          <w:tab w:val="num" w:pos="3600"/>
        </w:tabs>
        <w:ind w:left="3600" w:hanging="360"/>
      </w:pPr>
      <w:rPr>
        <w:rFonts w:ascii="Wingdings" w:hAnsi="Wingdings" w:hint="default"/>
      </w:rPr>
    </w:lvl>
    <w:lvl w:ilvl="5" w:tplc="E4A0822A" w:tentative="1">
      <w:start w:val="1"/>
      <w:numFmt w:val="bullet"/>
      <w:lvlText w:val=""/>
      <w:lvlJc w:val="left"/>
      <w:pPr>
        <w:tabs>
          <w:tab w:val="num" w:pos="4320"/>
        </w:tabs>
        <w:ind w:left="4320" w:hanging="360"/>
      </w:pPr>
      <w:rPr>
        <w:rFonts w:ascii="Wingdings" w:hAnsi="Wingdings" w:hint="default"/>
      </w:rPr>
    </w:lvl>
    <w:lvl w:ilvl="6" w:tplc="FF26EE24" w:tentative="1">
      <w:start w:val="1"/>
      <w:numFmt w:val="bullet"/>
      <w:lvlText w:val=""/>
      <w:lvlJc w:val="left"/>
      <w:pPr>
        <w:tabs>
          <w:tab w:val="num" w:pos="5040"/>
        </w:tabs>
        <w:ind w:left="5040" w:hanging="360"/>
      </w:pPr>
      <w:rPr>
        <w:rFonts w:ascii="Wingdings" w:hAnsi="Wingdings" w:hint="default"/>
      </w:rPr>
    </w:lvl>
    <w:lvl w:ilvl="7" w:tplc="9138BBAA" w:tentative="1">
      <w:start w:val="1"/>
      <w:numFmt w:val="bullet"/>
      <w:lvlText w:val=""/>
      <w:lvlJc w:val="left"/>
      <w:pPr>
        <w:tabs>
          <w:tab w:val="num" w:pos="5760"/>
        </w:tabs>
        <w:ind w:left="5760" w:hanging="360"/>
      </w:pPr>
      <w:rPr>
        <w:rFonts w:ascii="Wingdings" w:hAnsi="Wingdings" w:hint="default"/>
      </w:rPr>
    </w:lvl>
    <w:lvl w:ilvl="8" w:tplc="F7F40456"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A1D"/>
    <w:rsid w:val="001079BE"/>
    <w:rsid w:val="001D6A1D"/>
    <w:rsid w:val="00297C32"/>
    <w:rsid w:val="003D62D3"/>
    <w:rsid w:val="003F6FAE"/>
    <w:rsid w:val="0040171D"/>
    <w:rsid w:val="004363E1"/>
    <w:rsid w:val="007449DA"/>
    <w:rsid w:val="007E7E07"/>
    <w:rsid w:val="008F67B0"/>
    <w:rsid w:val="00AC4E84"/>
    <w:rsid w:val="00B816C0"/>
    <w:rsid w:val="00BA1DEE"/>
    <w:rsid w:val="00BA6216"/>
    <w:rsid w:val="00D96768"/>
    <w:rsid w:val="00DD606A"/>
    <w:rsid w:val="00E66A84"/>
    <w:rsid w:val="00F23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F39AC"/>
  <w15:chartTrackingRefBased/>
  <w15:docId w15:val="{5207F556-2D19-4CD3-BB0E-44807F165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6A1D"/>
    <w:pPr>
      <w:spacing w:after="200" w:line="276" w:lineRule="auto"/>
    </w:pPr>
    <w:rPr>
      <w:lang w:val="lv-LV"/>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63E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4363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8096909">
      <w:bodyDiv w:val="1"/>
      <w:marLeft w:val="0"/>
      <w:marRight w:val="0"/>
      <w:marTop w:val="0"/>
      <w:marBottom w:val="0"/>
      <w:divBdr>
        <w:top w:val="none" w:sz="0" w:space="0" w:color="auto"/>
        <w:left w:val="none" w:sz="0" w:space="0" w:color="auto"/>
        <w:bottom w:val="none" w:sz="0" w:space="0" w:color="auto"/>
        <w:right w:val="none" w:sz="0" w:space="0" w:color="auto"/>
      </w:divBdr>
    </w:div>
    <w:div w:id="1409107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755</Words>
  <Characters>4306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RTU 64 bit</Company>
  <LinksUpToDate>false</LinksUpToDate>
  <CharactersWithSpaces>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Uzule</dc:creator>
  <cp:keywords/>
  <dc:description/>
  <cp:lastModifiedBy>Laura Uzule</cp:lastModifiedBy>
  <cp:revision>3</cp:revision>
  <dcterms:created xsi:type="dcterms:W3CDTF">2022-04-26T07:59:00Z</dcterms:created>
  <dcterms:modified xsi:type="dcterms:W3CDTF">2022-04-26T08:23:00Z</dcterms:modified>
</cp:coreProperties>
</file>